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C7222" w14:textId="77777777" w:rsidR="002506C3" w:rsidRDefault="002506C3" w:rsidP="004B3E2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2"/>
      </w:tblGrid>
      <w:tr w:rsidR="004A3034" w:rsidRPr="004A3034" w14:paraId="7961119C"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8E8E8"/>
            <w:hideMark/>
          </w:tcPr>
          <w:p w14:paraId="5678F523" w14:textId="77777777" w:rsidR="004A3034" w:rsidRPr="004A3034" w:rsidRDefault="004A3034" w:rsidP="004A3034">
            <w:pPr>
              <w:jc w:val="center"/>
              <w:textAlignment w:val="baseline"/>
              <w:rPr>
                <w:rFonts w:ascii="Segoe UI" w:hAnsi="Segoe UI" w:cs="Segoe UI"/>
                <w:sz w:val="18"/>
                <w:szCs w:val="18"/>
                <w:lang w:eastAsia="es-ES_tradnl"/>
              </w:rPr>
            </w:pPr>
            <w:r w:rsidRPr="004A3034">
              <w:rPr>
                <w:rFonts w:ascii="Verdana" w:hAnsi="Verdana" w:cs="Segoe UI"/>
                <w:b/>
                <w:bCs/>
                <w:sz w:val="22"/>
                <w:szCs w:val="22"/>
                <w:lang w:eastAsia="es-ES_tradnl"/>
              </w:rPr>
              <w:t>Tema</w:t>
            </w:r>
            <w:r w:rsidRPr="004A3034">
              <w:rPr>
                <w:rFonts w:ascii="Verdana" w:hAnsi="Verdana" w:cs="Segoe UI"/>
                <w:sz w:val="22"/>
                <w:szCs w:val="22"/>
                <w:lang w:eastAsia="es-ES_tradnl"/>
              </w:rPr>
              <w:t> </w:t>
            </w:r>
          </w:p>
        </w:tc>
      </w:tr>
      <w:tr w:rsidR="004A3034" w:rsidRPr="004A3034" w14:paraId="00B99AF6"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1BED7BF8"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Terminación anticipada de contratos de venta de energía eléctrica  </w:t>
            </w:r>
          </w:p>
        </w:tc>
      </w:tr>
      <w:tr w:rsidR="004A3034" w:rsidRPr="004A3034" w14:paraId="54092084"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8E8E8"/>
            <w:hideMark/>
          </w:tcPr>
          <w:p w14:paraId="6B7A75E1" w14:textId="77777777" w:rsidR="004A3034" w:rsidRPr="004A3034" w:rsidRDefault="004A3034" w:rsidP="004A3034">
            <w:pPr>
              <w:jc w:val="center"/>
              <w:textAlignment w:val="baseline"/>
              <w:rPr>
                <w:rFonts w:ascii="Segoe UI" w:hAnsi="Segoe UI" w:cs="Segoe UI"/>
                <w:sz w:val="18"/>
                <w:szCs w:val="18"/>
                <w:lang w:eastAsia="es-ES_tradnl"/>
              </w:rPr>
            </w:pPr>
            <w:r w:rsidRPr="004A3034">
              <w:rPr>
                <w:rFonts w:ascii="Verdana" w:hAnsi="Verdana" w:cs="Segoe UI"/>
                <w:b/>
                <w:bCs/>
                <w:sz w:val="22"/>
                <w:szCs w:val="22"/>
                <w:lang w:eastAsia="es-ES_tradnl"/>
              </w:rPr>
              <w:t>CRM</w:t>
            </w:r>
            <w:r w:rsidRPr="004A3034">
              <w:rPr>
                <w:rFonts w:ascii="Verdana" w:hAnsi="Verdana" w:cs="Segoe UI"/>
                <w:sz w:val="22"/>
                <w:szCs w:val="22"/>
                <w:lang w:eastAsia="es-ES_tradnl"/>
              </w:rPr>
              <w:t> </w:t>
            </w:r>
          </w:p>
        </w:tc>
      </w:tr>
      <w:tr w:rsidR="004A3034" w:rsidRPr="004A3034" w14:paraId="64FDE2B1"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7D313CFE" w14:textId="77777777" w:rsidR="004A3034" w:rsidRPr="004A3034" w:rsidRDefault="004A3034" w:rsidP="004A3034">
            <w:pPr>
              <w:jc w:val="center"/>
              <w:textAlignment w:val="baseline"/>
              <w:rPr>
                <w:rFonts w:ascii="Segoe UI" w:hAnsi="Segoe UI" w:cs="Segoe UI"/>
                <w:sz w:val="18"/>
                <w:szCs w:val="18"/>
                <w:lang w:eastAsia="es-ES_tradnl"/>
              </w:rPr>
            </w:pPr>
            <w:r w:rsidRPr="004A3034">
              <w:rPr>
                <w:rFonts w:ascii="Verdana" w:hAnsi="Verdana" w:cs="Segoe UI"/>
                <w:sz w:val="22"/>
                <w:szCs w:val="22"/>
                <w:lang w:eastAsia="es-ES_tradnl"/>
              </w:rPr>
              <w:t>44007 </w:t>
            </w:r>
          </w:p>
        </w:tc>
      </w:tr>
      <w:tr w:rsidR="004A3034" w:rsidRPr="004A3034" w14:paraId="2ECCCF55"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8E8E8"/>
            <w:hideMark/>
          </w:tcPr>
          <w:p w14:paraId="7AEE9B68" w14:textId="77777777" w:rsidR="004A3034" w:rsidRPr="004A3034" w:rsidRDefault="004A3034" w:rsidP="004A3034">
            <w:pPr>
              <w:jc w:val="center"/>
              <w:textAlignment w:val="baseline"/>
              <w:rPr>
                <w:rFonts w:ascii="Segoe UI" w:hAnsi="Segoe UI" w:cs="Segoe UI"/>
                <w:sz w:val="18"/>
                <w:szCs w:val="18"/>
                <w:lang w:eastAsia="es-ES_tradnl"/>
              </w:rPr>
            </w:pPr>
            <w:r w:rsidRPr="004A3034">
              <w:rPr>
                <w:rFonts w:ascii="Verdana" w:hAnsi="Verdana" w:cs="Segoe UI"/>
                <w:b/>
                <w:bCs/>
                <w:sz w:val="22"/>
                <w:szCs w:val="22"/>
                <w:lang w:eastAsia="es-ES_tradnl"/>
              </w:rPr>
              <w:t>Problema(s) jurídico(s)</w:t>
            </w:r>
            <w:r w:rsidRPr="004A3034">
              <w:rPr>
                <w:rFonts w:ascii="Verdana" w:hAnsi="Verdana" w:cs="Segoe UI"/>
                <w:sz w:val="22"/>
                <w:szCs w:val="22"/>
                <w:lang w:eastAsia="es-ES_tradnl"/>
              </w:rPr>
              <w:t> </w:t>
            </w:r>
          </w:p>
        </w:tc>
      </w:tr>
      <w:tr w:rsidR="004A3034" w:rsidRPr="004A3034" w14:paraId="204E9813"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023AAEBF"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¿Es viable la terminación anticipada de contratos de venta de energía en el mercado mayorista, con fundamento en la fuerza mayor?  </w:t>
            </w:r>
          </w:p>
        </w:tc>
      </w:tr>
      <w:tr w:rsidR="004A3034" w:rsidRPr="004A3034" w14:paraId="0E423A34"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8E8E8"/>
            <w:hideMark/>
          </w:tcPr>
          <w:p w14:paraId="022CDDB6" w14:textId="77777777" w:rsidR="004A3034" w:rsidRPr="004A3034" w:rsidRDefault="004A3034" w:rsidP="004A3034">
            <w:pPr>
              <w:jc w:val="center"/>
              <w:textAlignment w:val="baseline"/>
              <w:rPr>
                <w:rFonts w:ascii="Segoe UI" w:hAnsi="Segoe UI" w:cs="Segoe UI"/>
                <w:sz w:val="18"/>
                <w:szCs w:val="18"/>
                <w:lang w:eastAsia="es-ES_tradnl"/>
              </w:rPr>
            </w:pPr>
            <w:r w:rsidRPr="004A3034">
              <w:rPr>
                <w:rFonts w:ascii="Verdana" w:hAnsi="Verdana" w:cs="Segoe UI"/>
                <w:b/>
                <w:bCs/>
                <w:sz w:val="22"/>
                <w:szCs w:val="22"/>
                <w:lang w:eastAsia="es-ES_tradnl"/>
              </w:rPr>
              <w:t>Análisis jurídico</w:t>
            </w:r>
            <w:r w:rsidRPr="004A3034">
              <w:rPr>
                <w:rFonts w:ascii="Verdana" w:hAnsi="Verdana" w:cs="Segoe UI"/>
                <w:sz w:val="22"/>
                <w:szCs w:val="22"/>
                <w:lang w:eastAsia="es-ES_tradnl"/>
              </w:rPr>
              <w:t> </w:t>
            </w:r>
          </w:p>
        </w:tc>
      </w:tr>
      <w:tr w:rsidR="004A3034" w:rsidRPr="004A3034" w14:paraId="54956C7C"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1DBFA161"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Los contratos de suministro de energía en el Mercado Mayorista de Energía son acuerdos entre proveedores y clientes que tienen por objeto abastecer al cliente de energía eléctrica durante un tiempo determinado. En esta clase de contratos, los clientes y proveedores pueden ser empresas generadoras, comercializadoras y/o distribuidoras de energía eléctrica. Estos contratos se rigen por el derecho privado y por las regulaciones que al respecto consagra la Ley 143 de 1994.  </w:t>
            </w:r>
          </w:p>
          <w:p w14:paraId="5B9ED177"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 </w:t>
            </w:r>
          </w:p>
          <w:p w14:paraId="76D6AA27"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Estos contratos deben celebrarse mediante mecanismos que estimulen la libre competencia estableciendo, además de los precios, cantidades, forma, oportunidad y sitio de entrega, las sanciones a que estarán sujetas las partes por irregularidades en la ejecución de los contratos y las compensaciones a que haya lugar por incumplimiento o por no poder atender oportunamente la demanda. </w:t>
            </w:r>
          </w:p>
          <w:p w14:paraId="244A97E6"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 </w:t>
            </w:r>
          </w:p>
          <w:p w14:paraId="5CB2249A"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En el marco de las reglas del derecho privado, estos contratos pueden ser sujetos de aplicación de las circunstancias de fuerza mayor o caso fortuito de te trata el artículo 64 del Código Civil. Lo anterior, en concordancia con el artículo 6 de la Ley 143 de 1994 que también consagra la fuerza mayor como una de las razones por las cuales se puede justificar eventuales interrupciones en la prestación del servicio de energía eléctrica.  </w:t>
            </w:r>
          </w:p>
          <w:p w14:paraId="3932FDD0"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 </w:t>
            </w:r>
          </w:p>
          <w:p w14:paraId="743FF48B"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En todo caso, se recuerda que las circunstancias de fuerza mayor o caso fortuito deben ser alegadas ante una autoridad jurisdiccional, y es esa autoridad, la que puede suspender o dar por terminados los contratos por estas causas.  </w:t>
            </w:r>
          </w:p>
        </w:tc>
      </w:tr>
      <w:tr w:rsidR="004A3034" w:rsidRPr="004A3034" w14:paraId="6F040C3C"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8E8E8"/>
            <w:hideMark/>
          </w:tcPr>
          <w:p w14:paraId="036FB1C9" w14:textId="77777777" w:rsidR="004A3034" w:rsidRPr="004A3034" w:rsidRDefault="004A3034" w:rsidP="004A3034">
            <w:pPr>
              <w:jc w:val="center"/>
              <w:textAlignment w:val="baseline"/>
              <w:rPr>
                <w:rFonts w:ascii="Segoe UI" w:hAnsi="Segoe UI" w:cs="Segoe UI"/>
                <w:sz w:val="18"/>
                <w:szCs w:val="18"/>
                <w:lang w:eastAsia="es-ES_tradnl"/>
              </w:rPr>
            </w:pPr>
            <w:r w:rsidRPr="004A3034">
              <w:rPr>
                <w:rFonts w:ascii="Verdana" w:hAnsi="Verdana" w:cs="Segoe UI"/>
                <w:b/>
                <w:bCs/>
                <w:sz w:val="22"/>
                <w:szCs w:val="22"/>
                <w:lang w:eastAsia="es-ES_tradnl"/>
              </w:rPr>
              <w:t>Respuesta</w:t>
            </w:r>
            <w:r w:rsidRPr="004A3034">
              <w:rPr>
                <w:rFonts w:ascii="Verdana" w:hAnsi="Verdana" w:cs="Segoe UI"/>
                <w:sz w:val="22"/>
                <w:szCs w:val="22"/>
                <w:lang w:eastAsia="es-ES_tradnl"/>
              </w:rPr>
              <w:t> </w:t>
            </w:r>
          </w:p>
        </w:tc>
      </w:tr>
      <w:tr w:rsidR="004A3034" w:rsidRPr="004A3034" w14:paraId="5162BCC3" w14:textId="77777777" w:rsidTr="004A3034">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09565E0D" w14:textId="77777777" w:rsidR="004A3034" w:rsidRPr="004A3034" w:rsidRDefault="004A3034" w:rsidP="004A3034">
            <w:pPr>
              <w:jc w:val="both"/>
              <w:textAlignment w:val="baseline"/>
              <w:rPr>
                <w:rFonts w:ascii="Segoe UI" w:hAnsi="Segoe UI" w:cs="Segoe UI"/>
                <w:sz w:val="18"/>
                <w:szCs w:val="18"/>
                <w:lang w:eastAsia="es-ES_tradnl"/>
              </w:rPr>
            </w:pPr>
            <w:r w:rsidRPr="004A3034">
              <w:rPr>
                <w:rFonts w:ascii="Verdana" w:hAnsi="Verdana" w:cs="Segoe UI"/>
                <w:sz w:val="22"/>
                <w:szCs w:val="22"/>
                <w:lang w:eastAsia="es-ES_tradnl"/>
              </w:rPr>
              <w:t>Por regla general, los contratos de venta de energía eléctrica en el mercado mayorista cuentan con cláusulas relacionadas con la terminación anticipada de los contratos y con la fuerza mayor, que si la empresa lo considera pertinente podría llegar a activar. Quien valora la ocurrencia o no de la fuerza mayor es una autoridad jurisdiccional.  </w:t>
            </w:r>
          </w:p>
        </w:tc>
      </w:tr>
    </w:tbl>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BE92" w14:textId="77777777" w:rsidR="00576921" w:rsidRDefault="00576921" w:rsidP="004B3E2B">
      <w:r>
        <w:separator/>
      </w:r>
    </w:p>
  </w:endnote>
  <w:endnote w:type="continuationSeparator" w:id="0">
    <w:p w14:paraId="173A6779" w14:textId="77777777" w:rsidR="00576921" w:rsidRDefault="00576921"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5376" w14:textId="77777777" w:rsidR="00576921" w:rsidRDefault="00576921" w:rsidP="004B3E2B">
      <w:r>
        <w:separator/>
      </w:r>
    </w:p>
  </w:footnote>
  <w:footnote w:type="continuationSeparator" w:id="0">
    <w:p w14:paraId="54EF85A6" w14:textId="77777777" w:rsidR="00576921" w:rsidRDefault="00576921"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2506C3"/>
    <w:rsid w:val="004774B7"/>
    <w:rsid w:val="004A3034"/>
    <w:rsid w:val="004A4B6F"/>
    <w:rsid w:val="004B3E2B"/>
    <w:rsid w:val="00576921"/>
    <w:rsid w:val="006563FE"/>
    <w:rsid w:val="006A1B54"/>
    <w:rsid w:val="007E0DF9"/>
    <w:rsid w:val="0088436C"/>
    <w:rsid w:val="00BD7026"/>
    <w:rsid w:val="00DD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EEAFF80-5901-404E-BA46-068EA814443C}"/>
</file>

<file path=customXml/itemProps2.xml><?xml version="1.0" encoding="utf-8"?>
<ds:datastoreItem xmlns:ds="http://schemas.openxmlformats.org/officeDocument/2006/customXml" ds:itemID="{EE6EC2F9-455A-45C5-89C9-693D72800EC2}"/>
</file>

<file path=customXml/itemProps3.xml><?xml version="1.0" encoding="utf-8"?>
<ds:datastoreItem xmlns:ds="http://schemas.openxmlformats.org/officeDocument/2006/customXml" ds:itemID="{663930BB-CE5E-4163-9C30-86FA021F441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2025-12-01T16:03:00Z</dcterms:created>
  <dcterms:modified xsi:type="dcterms:W3CDTF">2025-12-01T16:03:00Z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